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  </w:t>
      </w:r>
    </w:p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  </w:t>
      </w:r>
      <w:r>
        <w:rPr/>
        <w:drawing>
          <wp:inline distT="0" distB="0" distL="0" distR="0">
            <wp:extent cx="436245" cy="64135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textAlignment w:val="baseline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textAlignment w:val="baseline"/>
        <w:rPr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textAlignment w:val="baseline"/>
        <w:rPr>
          <w:rFonts w:ascii="Liberation Serif" w:hAnsi="Liberation Serif"/>
          <w:b/>
          <w:bCs/>
          <w:color w:val="000000"/>
          <w:sz w:val="20"/>
          <w:szCs w:val="20"/>
        </w:rPr>
      </w:pPr>
      <w:r>
        <w:rPr>
          <w:rFonts w:ascii="Liberation Serif" w:hAnsi="Liberation Serif"/>
          <w:b/>
          <w:bCs/>
          <w:color w:val="000000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10087" w:type="dxa"/>
        <w:jc w:val="left"/>
        <w:tblInd w:w="-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7"/>
      </w:tblGrid>
      <w:tr>
        <w:trPr>
          <w:trHeight w:val="495" w:hRule="atLeast"/>
        </w:trPr>
        <w:tc>
          <w:tcPr>
            <w:tcW w:w="10087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200"/>
              <w:ind w:hanging="0" w:left="0" w:right="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от 29.12.2025                                             п.г.т. Тугулым                                                           № 913</w:t>
            </w:r>
          </w:p>
        </w:tc>
      </w:tr>
    </w:tbl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           </w:t>
      </w:r>
      <w:r>
        <w:rPr>
          <w:rFonts w:ascii="Liberation Serif" w:hAnsi="Liberation Serif"/>
          <w:b/>
          <w:sz w:val="24"/>
          <w:szCs w:val="24"/>
        </w:rPr>
        <w:t xml:space="preserve">Об утверждении Плана-графика </w:t>
      </w:r>
      <w:r>
        <w:rPr>
          <w:rFonts w:ascii="Liberation Serif" w:hAnsi="Liberation Serif"/>
          <w:b/>
          <w:bCs/>
          <w:sz w:val="24"/>
          <w:szCs w:val="24"/>
        </w:rPr>
        <w:t xml:space="preserve">мероприятий («дорожная карта») </w:t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по повышению эффективности бюджетных расходов на содержание </w:t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органов местного самоуправления Тугулымского муниципального округа </w:t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Свердловской области на 2026-2028 годы</w:t>
      </w:r>
    </w:p>
    <w:p>
      <w:pPr>
        <w:pStyle w:val="ConsPlusNormal"/>
        <w:spacing w:before="0" w:after="0"/>
        <w:jc w:val="center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tbl>
      <w:tblPr>
        <w:tblW w:w="10198" w:type="dxa"/>
        <w:jc w:val="left"/>
        <w:tblInd w:w="-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198"/>
      </w:tblGrid>
      <w:tr>
        <w:trPr>
          <w:trHeight w:val="11054" w:hRule="atLeast"/>
        </w:trPr>
        <w:tc>
          <w:tcPr>
            <w:tcW w:w="10198" w:type="dxa"/>
            <w:tcBorders/>
          </w:tcPr>
          <w:p>
            <w:pPr>
              <w:pStyle w:val="Title"/>
              <w:widowControl/>
              <w:bidi w:val="0"/>
              <w:spacing w:lineRule="auto" w:line="240" w:before="0" w:after="0"/>
              <w:ind w:firstLine="850" w:left="-113" w:right="0"/>
              <w:jc w:val="both"/>
              <w:rPr>
                <w:rFonts w:ascii="Liberation Serif" w:hAnsi="Liberation Serif"/>
                <w:b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sz w:val="24"/>
                <w:szCs w:val="24"/>
              </w:rPr>
              <w:t>В целях принятия мер по обеспечению эффективного использования бюджетных средств на содержание органов местного самоуправления Тугулымского муниципального округа Свердловской области, руководствуясь Уставом Тугулымского муниципального округа Свердловской области, администрация Тугулымского муниципального округа</w:t>
            </w:r>
          </w:p>
          <w:p>
            <w:pPr>
              <w:pStyle w:val="Title"/>
              <w:widowControl/>
              <w:bidi w:val="0"/>
              <w:spacing w:lineRule="auto" w:line="240" w:before="0" w:after="0"/>
              <w:ind w:firstLine="850" w:left="-113" w:right="0"/>
              <w:jc w:val="both"/>
              <w:rPr>
                <w:rFonts w:ascii="Liberation Serif" w:hAnsi="Liberation Serif"/>
                <w:b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sz w:val="24"/>
                <w:szCs w:val="24"/>
              </w:rPr>
            </w:r>
          </w:p>
          <w:p>
            <w:pPr>
              <w:pStyle w:val="ConsPlusNormal"/>
              <w:widowControl/>
              <w:bidi w:val="0"/>
              <w:spacing w:lineRule="auto" w:line="240" w:before="0" w:after="0"/>
              <w:ind w:hanging="0" w:left="-113" w:right="113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ПОСТАНОВЛЯЕТ:</w:t>
            </w:r>
          </w:p>
          <w:p>
            <w:pPr>
              <w:pStyle w:val="ConsPlusNormal"/>
              <w:widowControl/>
              <w:bidi w:val="0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-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1. Утвердить План-график 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мероприятий («дорожную карту») по повышению эффективности бюджетных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расходов на содержание органов местного самоуправления Тугулымского муниципального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Свердловской области 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на 2026 - 2028 годы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(далее План-график) (прилагается).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794" w:left="-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 Структурным подразделениям администрации Тугулымского муниципального округа, Думе Тугулымского муниципального округа Свердловской области, Контрольно-ревизионной комиссии Тугулымского муниципального округа Свердловской области обеспечить: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-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а) реализацию плана – графика мероприятий («дорожной карты») в установленные сроки;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-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б) предоставление структурными подразделениями администрации Тугулымского муниципального округа, Думой Тугулымского муниципального округа Свердловской области, Контрольно-ревизионной комиссией Тугулымского муниципального округа Свердловской области в Финансовое управление администрации Тугулымского муниципального округа    Свердловской области информации о выполнении плана-графика мероприятий ежегодно в срок до 15 января, следующего за отчетным.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-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 Финансовому управлению администрации Тугулымского муниципального округа Свердловской области не позднее 30 января года, следующего за отчетным периодом предоставить в Министерство Финансов Свердловской области отчет о результатах реализации плана – графика мероприятий («дорожной карты»).</w:t>
            </w:r>
          </w:p>
          <w:p>
            <w:pPr>
              <w:pStyle w:val="ConsPlusNormal"/>
              <w:widowControl/>
              <w:bidi w:val="0"/>
              <w:spacing w:lineRule="auto" w:line="240" w:before="0" w:after="0"/>
              <w:ind w:firstLine="794" w:left="-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  Постановление администрации Тугулымского муниципального округа от 28.01.2025 № 52 «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Об утверждении Плана-графика мероприятий («дорожная карта») по повышению эффективности бюджетных расходов на содержание органов местного самоуправления Тугулымского муниципального округа на 2025 год» признать утратившим силу.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-113" w:right="4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5.   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Настоящее постановление вступает в силу с 1 января 2026 года.</w:t>
            </w:r>
          </w:p>
          <w:p>
            <w:pPr>
              <w:pStyle w:val="ConsPlusNormal"/>
              <w:widowControl/>
              <w:bidi w:val="0"/>
              <w:spacing w:lineRule="auto" w:line="240" w:before="0" w:after="0"/>
              <w:ind w:firstLine="794" w:left="-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  Настоящее постановление опубликовать на официальном сайте администрации Тугулымского муниципального округа.</w:t>
            </w:r>
          </w:p>
          <w:p>
            <w:pPr>
              <w:pStyle w:val="ConsPlusNormal"/>
              <w:widowControl/>
              <w:bidi w:val="0"/>
              <w:spacing w:lineRule="auto" w:line="240" w:before="0" w:after="0"/>
              <w:ind w:firstLine="794" w:left="-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   Контроль за исполнением настоящего постановления оставляю за собой.</w:t>
            </w:r>
          </w:p>
          <w:p>
            <w:pPr>
              <w:pStyle w:val="ConsPlusNormal"/>
              <w:spacing w:lineRule="auto" w:line="240"/>
              <w:ind w:hanging="0" w:left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ConsPlusNormal"/>
              <w:spacing w:lineRule="auto" w:line="240"/>
              <w:ind w:hanging="0" w:left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ConsPlusNormal"/>
              <w:spacing w:lineRule="auto" w:line="240"/>
              <w:ind w:hanging="0" w:left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ConsPlusNormal"/>
              <w:spacing w:lineRule="auto" w:line="240"/>
              <w:ind w:hanging="0" w:left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Глава</w:t>
            </w:r>
          </w:p>
          <w:p>
            <w:pPr>
              <w:pStyle w:val="ConsPlusNormal"/>
              <w:widowControl w:val="false"/>
              <w:bidi w:val="0"/>
              <w:spacing w:lineRule="auto" w:line="240" w:before="0" w:after="0"/>
              <w:ind w:hanging="0" w:left="0" w:right="-57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Тугулымского муниципального округа                                                                         А.Н. Поздеев</w:t>
            </w:r>
          </w:p>
          <w:p>
            <w:pPr>
              <w:pStyle w:val="ConsPlusNormal"/>
              <w:spacing w:lineRule="auto" w:line="240"/>
              <w:ind w:firstLine="54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ConsPlusNormal"/>
              <w:spacing w:lineRule="auto" w:line="240"/>
              <w:ind w:hanging="0" w:left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10065" w:hRule="atLeast"/>
        </w:trPr>
        <w:tc>
          <w:tcPr>
            <w:tcW w:w="10198" w:type="dxa"/>
            <w:tcBorders/>
          </w:tcPr>
          <w:p>
            <w:pPr>
              <w:pStyle w:val="ConsPlusNormal"/>
              <w:widowControl/>
              <w:bidi w:val="0"/>
              <w:spacing w:lineRule="auto" w:line="240" w:before="0" w:after="0"/>
              <w:ind w:hanging="0" w:left="0" w:righ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-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sectPr>
          <w:type w:val="nextPage"/>
          <w:pgSz w:w="11906" w:h="16838"/>
          <w:pgMar w:left="1218" w:right="851" w:gutter="0" w:header="0" w:top="184" w:footer="0" w:bottom="1128"/>
          <w:pgNumType w:fmt="decimal"/>
          <w:formProt w:val="false"/>
          <w:textDirection w:val="lrTb"/>
          <w:docGrid w:type="default" w:linePitch="326" w:charSpace="0"/>
        </w:sectPr>
      </w:pP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 Утвержден</w:t>
      </w:r>
    </w:p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</w:t>
      </w:r>
      <w:r>
        <w:rPr>
          <w:rFonts w:ascii="Liberation Serif" w:hAnsi="Liberation Serif"/>
          <w:sz w:val="24"/>
          <w:szCs w:val="24"/>
        </w:rPr>
        <w:tab/>
        <w:tab/>
        <w:tab/>
        <w:tab/>
        <w:tab/>
        <w:tab/>
        <w:tab/>
        <w:tab/>
        <w:tab/>
        <w:t xml:space="preserve"> постановлением администрации</w:t>
      </w:r>
    </w:p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</w:t>
      </w:r>
      <w:r>
        <w:rPr>
          <w:rFonts w:ascii="Liberation Serif" w:hAnsi="Liberation Serif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 xml:space="preserve">      от 29.12.2025 № 913  </w:t>
      </w:r>
    </w:p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bookmarkStart w:id="0" w:name="Par36"/>
      <w:bookmarkEnd w:id="0"/>
      <w:r>
        <w:rPr>
          <w:rFonts w:ascii="Liberation Serif" w:hAnsi="Liberation Serif"/>
          <w:b/>
          <w:bCs/>
          <w:sz w:val="24"/>
          <w:szCs w:val="24"/>
        </w:rPr>
        <w:t>План-график</w:t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мероприятий («дорожная карта») по повышению эффективности бюджетных расходов на содержание </w:t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органов местного самоуправления Тугулымского муниципального округа Свердловской области</w:t>
      </w:r>
      <w:bookmarkStart w:id="1" w:name="_GoBack"/>
      <w:bookmarkEnd w:id="1"/>
      <w:r>
        <w:rPr>
          <w:rFonts w:ascii="Liberation Serif" w:hAnsi="Liberation Serif"/>
          <w:b/>
          <w:bCs/>
          <w:sz w:val="24"/>
          <w:szCs w:val="24"/>
        </w:rPr>
        <w:t xml:space="preserve"> на 2026 - 2028 годы</w:t>
      </w:r>
    </w:p>
    <w:p>
      <w:pPr>
        <w:pStyle w:val="Normal"/>
        <w:widowControl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13669" w:type="dxa"/>
        <w:jc w:val="left"/>
        <w:tblInd w:w="155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4a0" w:noHBand="0" w:noVBand="1" w:firstColumn="1" w:lastRow="0" w:lastColumn="0" w:firstRow="1"/>
      </w:tblPr>
      <w:tblGrid>
        <w:gridCol w:w="965"/>
        <w:gridCol w:w="3633"/>
        <w:gridCol w:w="5526"/>
        <w:gridCol w:w="1419"/>
        <w:gridCol w:w="2126"/>
      </w:tblGrid>
      <w:tr>
        <w:trPr>
          <w:trHeight w:val="636" w:hRule="atLeast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Мероприятия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Исполнители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Размер средств экономии,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Срок исполнения</w:t>
            </w:r>
          </w:p>
        </w:tc>
      </w:tr>
      <w:tr>
        <w:trPr>
          <w:trHeight w:val="146" w:hRule="atLeast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bookmarkStart w:id="2" w:name="Par46"/>
            <w:bookmarkEnd w:id="2"/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анализа расходов на  содержание органов местного самоуправления Тугулымского муниципального округа Свердловской области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Финансовое управление администрации Тугулымского муниципального округа, Дума Тугулымского муниципального округа, Контрольно-ревизионная комиссия Тугулымского муниципального  округа, Управление образования Тугулымского муниципального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</w:tr>
      <w:tr>
        <w:trPr>
          <w:trHeight w:val="552" w:hRule="atLeast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детального анализа дублирующих функций органов местного самоуправления, их структурных подразделении, территориальных  (функциональных) органов в целях дальнейшей оптимизации дублирующего функционала, включая сокращение численности работников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отдел кадрового и организационного обеспечения администрации Тугулымского муниципального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</w:tr>
      <w:tr>
        <w:trPr>
          <w:trHeight w:val="146" w:hRule="atLeast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Снятие лимитов и бюджетных ассигнований при возникновении экономии средств с целью не превышения норматива на содержание органов местного самоуправления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Финансовое управление администрации Тугулымского муниципального округа, Дума Тугулымского муниципального округа, Контрольно-ревизионная комиссия Тугулымского муниципального округа, Управление образования Тугулымского муниципального округа, территориальные органы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</w:tr>
      <w:tr>
        <w:trPr>
          <w:trHeight w:val="146" w:hRule="atLeast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Недопущение  увеличения численности  муниципальных служащих  администрации Тугулымского муниципального  округа </w:t>
            </w:r>
            <w:r>
              <w:rPr>
                <w:rFonts w:ascii="Liberation Serif" w:hAnsi="Liberation Serif"/>
                <w:sz w:val="24"/>
                <w:szCs w:val="24"/>
              </w:rPr>
              <w:t>Свердловской области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отдел кадрового и организационного обеспечения администрации Тугулымского муниципального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</w:tr>
      <w:tr>
        <w:trPr>
          <w:trHeight w:val="146" w:hRule="atLeast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 xml:space="preserve">Организация повышения квалификации муниципальных служащих Тугулымского муниципального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Свердловской области </w:t>
            </w:r>
            <w:r>
              <w:rPr>
                <w:rFonts w:cs="Liberation Serif" w:ascii="Liberation Serif" w:hAnsi="Liberation Serif"/>
                <w:sz w:val="24"/>
                <w:szCs w:val="24"/>
              </w:rPr>
              <w:t>преимущественно методом дистанционного обучения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Финансовое управление администрации Тугулымского муниципального округа, Дума Тугулымского муниципального округа, Контрольно-ревизионная комиссия Тугулымского муниципального  округа, Управление образования Тугулымского муниципального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течение года</w:t>
            </w:r>
          </w:p>
        </w:tc>
      </w:tr>
      <w:tr>
        <w:trPr>
          <w:trHeight w:val="146" w:hRule="atLeast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28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Инвентаризация объектов муниципальной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собственности,</w:t>
            </w:r>
            <w:r>
              <w:rPr>
                <w:rFonts w:ascii="Liberation Serif" w:hAnsi="Liberation Serif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определение</w:t>
            </w:r>
            <w:r>
              <w:rPr>
                <w:rFonts w:ascii="Liberation Serif" w:hAnsi="Liberation Serif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оптимального </w:t>
            </w:r>
            <w:r>
              <w:rPr>
                <w:rFonts w:ascii="Liberation Serif" w:hAnsi="Liberation Serif"/>
                <w:spacing w:val="-67"/>
                <w:sz w:val="24"/>
                <w:szCs w:val="24"/>
              </w:rPr>
              <w:t xml:space="preserve">            </w:t>
            </w:r>
            <w:r>
              <w:rPr>
                <w:rFonts w:ascii="Liberation Serif" w:hAnsi="Liberation Serif"/>
                <w:sz w:val="24"/>
                <w:szCs w:val="24"/>
              </w:rPr>
              <w:t>состава</w:t>
            </w:r>
            <w:r>
              <w:rPr>
                <w:rFonts w:ascii="Liberation Serif" w:hAnsi="Liberation Serif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объектов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муниципальной</w:t>
            </w:r>
          </w:p>
          <w:p>
            <w:pPr>
              <w:pStyle w:val="TableParagraph"/>
              <w:ind w:right="17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собственности с учетом полномочий,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возложенных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на</w:t>
            </w:r>
            <w:r>
              <w:rPr>
                <w:rFonts w:ascii="Liberation Serif" w:hAnsi="Liberation Serif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соответствующие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публично-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правовые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образования.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 и территориальные органы администрации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течение года</w:t>
            </w:r>
          </w:p>
        </w:tc>
      </w:tr>
      <w:tr>
        <w:trPr>
          <w:trHeight w:val="146" w:hRule="atLeast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Осуществление строгого режима экономии </w:t>
            </w:r>
            <w:r>
              <w:rPr>
                <w:rFonts w:ascii="Liberation Serif" w:hAnsi="Liberation Serif"/>
                <w:spacing w:val="-67"/>
                <w:sz w:val="24"/>
                <w:szCs w:val="24"/>
              </w:rPr>
              <w:t xml:space="preserve">  </w:t>
            </w:r>
            <w:r>
              <w:rPr>
                <w:rFonts w:ascii="Liberation Serif" w:hAnsi="Liberation Serif"/>
                <w:sz w:val="24"/>
                <w:szCs w:val="24"/>
              </w:rPr>
              <w:t>бюджетных средств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Финансовое управление администрации Тугулымского муниципального округа, Дума Тугулымского муниципального округа, Контрольно-ревизионная комиссия Тугулымского муниципального округа, Управление образования Тугулымского муниципального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течение года</w:t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orient="landscape" w:w="15840" w:h="12240"/>
      <w:pgMar w:left="1134" w:right="934" w:gutter="0" w:header="0" w:top="851" w:footer="0" w:bottom="156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Arial">
    <w:charset w:val="01"/>
    <w:family w:val="swiss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149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qFormat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user">
    <w:name w:val="Символ сноски (user)"/>
    <w:qFormat/>
    <w:rPr>
      <w:rFonts w:cs="Times New Roman"/>
      <w:vertAlign w:val="superscript"/>
    </w:rPr>
  </w:style>
  <w:style w:type="character" w:styleId="Style16">
    <w:name w:val="Текст сноски Знак"/>
    <w:qFormat/>
    <w:rPr>
      <w:rFonts w:ascii="Times New Roman" w:hAnsi="Times New Roman" w:cs="Times New Roman"/>
      <w:sz w:val="20"/>
      <w:szCs w:val="20"/>
      <w:lang w:val="ru-RU"/>
    </w:rPr>
  </w:style>
  <w:style w:type="character" w:styleId="Style17">
    <w:name w:val="Тема примечания Знак"/>
    <w:qFormat/>
    <w:rPr>
      <w:rFonts w:ascii="Times New Roman" w:hAnsi="Times New Roman" w:cs="Times New Roman"/>
      <w:b/>
      <w:bCs/>
      <w:sz w:val="20"/>
      <w:szCs w:val="20"/>
      <w:lang w:val="ru-RU"/>
    </w:rPr>
  </w:style>
  <w:style w:type="character" w:styleId="Style18">
    <w:name w:val="Текст примечания Знак"/>
    <w:qFormat/>
    <w:rPr>
      <w:rFonts w:ascii="Times New Roman" w:hAnsi="Times New Roman" w:cs="Times New Roman"/>
      <w:sz w:val="20"/>
      <w:szCs w:val="20"/>
      <w:lang w:val="ru-RU"/>
    </w:rPr>
  </w:style>
  <w:style w:type="character" w:styleId="Style19">
    <w:name w:val="Знак примечания"/>
    <w:qFormat/>
    <w:rPr>
      <w:rFonts w:cs="Times New Roman"/>
      <w:sz w:val="16"/>
      <w:szCs w:val="16"/>
    </w:rPr>
  </w:style>
  <w:style w:type="character" w:styleId="Style20">
    <w:name w:val="Нижний колонтитул Знак"/>
    <w:qFormat/>
    <w:rPr>
      <w:rFonts w:ascii="Times New Roman" w:hAnsi="Times New Roman" w:cs="Times New Roman"/>
      <w:sz w:val="24"/>
      <w:szCs w:val="24"/>
      <w:lang w:val="ru-RU"/>
    </w:rPr>
  </w:style>
  <w:style w:type="character" w:styleId="Style21">
    <w:name w:val="Верхний колонтитул Знак"/>
    <w:qFormat/>
    <w:rPr>
      <w:rFonts w:ascii="Times New Roman" w:hAnsi="Times New Roman" w:cs="Times New Roman"/>
      <w:sz w:val="24"/>
      <w:szCs w:val="24"/>
      <w:lang w:val="ru-RU"/>
    </w:rPr>
  </w:style>
  <w:style w:type="character" w:styleId="Style22">
    <w:name w:val="Основной шрифт абзаца"/>
    <w:qFormat/>
    <w:rPr/>
  </w:style>
  <w:style w:type="character" w:styleId="WW8Num23z0">
    <w:name w:val="WW8Num23z0"/>
    <w:qFormat/>
    <w:rPr>
      <w:rFonts w:cs="Times New Roman"/>
    </w:rPr>
  </w:style>
  <w:style w:type="character" w:styleId="WW8Num22z3">
    <w:name w:val="WW8Num22z3"/>
    <w:qFormat/>
    <w:rPr>
      <w:rFonts w:cs="Times New Roman"/>
    </w:rPr>
  </w:style>
  <w:style w:type="character" w:styleId="WW8Num22z2">
    <w:name w:val="WW8Num22z2"/>
    <w:qFormat/>
    <w:rPr>
      <w:rFonts w:cs="Times New Roman"/>
      <w:color w:val="000000"/>
      <w:sz w:val="24"/>
    </w:rPr>
  </w:style>
  <w:style w:type="character" w:styleId="WW8Num22z0">
    <w:name w:val="WW8Num22z0"/>
    <w:qFormat/>
    <w:rPr>
      <w:rFonts w:cs="Times New Roman"/>
      <w:b/>
    </w:rPr>
  </w:style>
  <w:style w:type="character" w:styleId="WW8Num21z1">
    <w:name w:val="WW8Num21z1"/>
    <w:qFormat/>
    <w:rPr>
      <w:rFonts w:cs="Times New Roman"/>
    </w:rPr>
  </w:style>
  <w:style w:type="character" w:styleId="WW8Num21z0">
    <w:name w:val="WW8Num21z0"/>
    <w:qFormat/>
    <w:rPr>
      <w:rFonts w:cs="Times New Roman"/>
      <w:sz w:val="24"/>
      <w:szCs w:val="24"/>
    </w:rPr>
  </w:style>
  <w:style w:type="character" w:styleId="WW8Num20z1">
    <w:name w:val="WW8Num20z1"/>
    <w:qFormat/>
    <w:rPr>
      <w:rFonts w:cs="Times New Roman"/>
    </w:rPr>
  </w:style>
  <w:style w:type="character" w:styleId="WW8Num20z0">
    <w:name w:val="WW8Num20z0"/>
    <w:qFormat/>
    <w:rPr>
      <w:rFonts w:cs="Times New Roman"/>
      <w:b w:val="false"/>
      <w:sz w:val="24"/>
      <w:szCs w:val="24"/>
    </w:rPr>
  </w:style>
  <w:style w:type="character" w:styleId="WW8Num19z1">
    <w:name w:val="WW8Num19z1"/>
    <w:qFormat/>
    <w:rPr>
      <w:rFonts w:cs="Times New Roman"/>
    </w:rPr>
  </w:style>
  <w:style w:type="character" w:styleId="WW8Num19z0">
    <w:name w:val="WW8Num19z0"/>
    <w:qFormat/>
    <w:rPr>
      <w:rFonts w:cs="Times New Roman"/>
    </w:rPr>
  </w:style>
  <w:style w:type="character" w:styleId="WW8Num18z1">
    <w:name w:val="WW8Num18z1"/>
    <w:qFormat/>
    <w:rPr>
      <w:rFonts w:cs="Times New Roman"/>
    </w:rPr>
  </w:style>
  <w:style w:type="character" w:styleId="WW8Num18z0">
    <w:name w:val="WW8Num18z0"/>
    <w:qFormat/>
    <w:rPr>
      <w:rFonts w:ascii="Arial" w:hAnsi="Arial" w:eastAsia="Times New Roman" w:cs="Arial"/>
      <w:sz w:val="20"/>
      <w:szCs w:val="20"/>
    </w:rPr>
  </w:style>
  <w:style w:type="character" w:styleId="WW8Num17z1">
    <w:name w:val="WW8Num17z1"/>
    <w:qFormat/>
    <w:rPr>
      <w:rFonts w:cs="Times New Roman"/>
    </w:rPr>
  </w:style>
  <w:style w:type="character" w:styleId="WW8Num17z0">
    <w:name w:val="WW8Num17z0"/>
    <w:qFormat/>
    <w:rPr>
      <w:rFonts w:ascii="Times New Roman" w:hAnsi="Times New Roman" w:eastAsia="Times New Roman" w:cs="Times New Roman"/>
      <w:sz w:val="28"/>
      <w:szCs w:val="28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5z3">
    <w:name w:val="WW8Num15z3"/>
    <w:qFormat/>
    <w:rPr>
      <w:rFonts w:cs="Times New Roman"/>
    </w:rPr>
  </w:style>
  <w:style w:type="character" w:styleId="WW8Num15z2">
    <w:name w:val="WW8Num15z2"/>
    <w:qFormat/>
    <w:rPr>
      <w:rFonts w:cs="Times New Roman"/>
      <w:b w:val="false"/>
      <w:color w:val="000000"/>
      <w:sz w:val="26"/>
      <w:szCs w:val="26"/>
    </w:rPr>
  </w:style>
  <w:style w:type="character" w:styleId="WW8Num15z0">
    <w:name w:val="WW8Num15z0"/>
    <w:qFormat/>
    <w:rPr>
      <w:rFonts w:cs="Times New Roman"/>
      <w:b/>
    </w:rPr>
  </w:style>
  <w:style w:type="character" w:styleId="WW8Num14z1">
    <w:name w:val="WW8Num14z1"/>
    <w:qFormat/>
    <w:rPr>
      <w:rFonts w:cs="Times New Roman"/>
    </w:rPr>
  </w:style>
  <w:style w:type="character" w:styleId="WW8Num14z0">
    <w:name w:val="WW8Num14z0"/>
    <w:qFormat/>
    <w:rPr>
      <w:rFonts w:cs="Times New Roman"/>
      <w:b w:val="false"/>
      <w:sz w:val="26"/>
      <w:szCs w:val="26"/>
    </w:rPr>
  </w:style>
  <w:style w:type="character" w:styleId="WW8Num13z1">
    <w:name w:val="WW8Num13z1"/>
    <w:qFormat/>
    <w:rPr>
      <w:rFonts w:cs="Times New Roman"/>
    </w:rPr>
  </w:style>
  <w:style w:type="character" w:styleId="WW8Num13z0">
    <w:name w:val="WW8Num13z0"/>
    <w:qFormat/>
    <w:rPr>
      <w:rFonts w:cs="Times New Roman"/>
    </w:rPr>
  </w:style>
  <w:style w:type="character" w:styleId="WW8Num12z1">
    <w:name w:val="WW8Num12z1"/>
    <w:qFormat/>
    <w:rPr>
      <w:rFonts w:cs="Times New Roman"/>
    </w:rPr>
  </w:style>
  <w:style w:type="character" w:styleId="WW8Num12z0">
    <w:name w:val="WW8Num12z0"/>
    <w:qFormat/>
    <w:rPr>
      <w:rFonts w:cs="Times New Roman"/>
    </w:rPr>
  </w:style>
  <w:style w:type="character" w:styleId="WW8Num11z1">
    <w:name w:val="WW8Num11z1"/>
    <w:qFormat/>
    <w:rPr>
      <w:rFonts w:cs="Times New Roman"/>
    </w:rPr>
  </w:style>
  <w:style w:type="character" w:styleId="WW8Num11z0">
    <w:name w:val="WW8Num11z0"/>
    <w:qFormat/>
    <w:rPr>
      <w:rFonts w:cs="Times New Roman"/>
    </w:rPr>
  </w:style>
  <w:style w:type="character" w:styleId="WW8Num10z1">
    <w:name w:val="WW8Num10z1"/>
    <w:qFormat/>
    <w:rPr>
      <w:rFonts w:cs="Times New Roman"/>
    </w:rPr>
  </w:style>
  <w:style w:type="character" w:styleId="WW8Num10z0">
    <w:name w:val="WW8Num10z0"/>
    <w:qFormat/>
    <w:rPr>
      <w:rFonts w:cs="Times New Roman"/>
    </w:rPr>
  </w:style>
  <w:style w:type="character" w:styleId="WW8Num9z1">
    <w:name w:val="WW8Num9z1"/>
    <w:qFormat/>
    <w:rPr>
      <w:rFonts w:cs="Times New Roman"/>
    </w:rPr>
  </w:style>
  <w:style w:type="character" w:styleId="WW8Num9z0">
    <w:name w:val="WW8Num9z0"/>
    <w:qFormat/>
    <w:rPr>
      <w:rFonts w:cs="Times New Roman"/>
    </w:rPr>
  </w:style>
  <w:style w:type="character" w:styleId="WW8Num8z1">
    <w:name w:val="WW8Num8z1"/>
    <w:qFormat/>
    <w:rPr>
      <w:rFonts w:cs="Times New Roman"/>
    </w:rPr>
  </w:style>
  <w:style w:type="character" w:styleId="WW8Num8z0">
    <w:name w:val="WW8Num8z0"/>
    <w:qFormat/>
    <w:rPr>
      <w:rFonts w:cs="Times New Roman"/>
    </w:rPr>
  </w:style>
  <w:style w:type="character" w:styleId="WW8Num7z1">
    <w:name w:val="WW8Num7z1"/>
    <w:qFormat/>
    <w:rPr>
      <w:rFonts w:cs="Times New Roman"/>
    </w:rPr>
  </w:style>
  <w:style w:type="character" w:styleId="WW8Num7z0">
    <w:name w:val="WW8Num7z0"/>
    <w:qFormat/>
    <w:rPr>
      <w:rFonts w:cs="Times New Roman"/>
    </w:rPr>
  </w:style>
  <w:style w:type="character" w:styleId="WW8Num6z1">
    <w:name w:val="WW8Num6z1"/>
    <w:qFormat/>
    <w:rPr>
      <w:rFonts w:cs="Times New Roman"/>
    </w:rPr>
  </w:style>
  <w:style w:type="character" w:styleId="WW8Num6z0">
    <w:name w:val="WW8Num6z0"/>
    <w:qFormat/>
    <w:rPr>
      <w:rFonts w:cs="Times New Roman"/>
    </w:rPr>
  </w:style>
  <w:style w:type="character" w:styleId="WW8Num5z1">
    <w:name w:val="WW8Num5z1"/>
    <w:qFormat/>
    <w:rPr>
      <w:rFonts w:cs="Times New Roman"/>
    </w:rPr>
  </w:style>
  <w:style w:type="character" w:styleId="WW8Num5z0">
    <w:name w:val="WW8Num5z0"/>
    <w:qFormat/>
    <w:rPr>
      <w:rFonts w:cs="Times New Roman"/>
    </w:rPr>
  </w:style>
  <w:style w:type="character" w:styleId="WW8Num4z1">
    <w:name w:val="WW8Num4z1"/>
    <w:qFormat/>
    <w:rPr>
      <w:rFonts w:cs="Times New Roman"/>
    </w:rPr>
  </w:style>
  <w:style w:type="character" w:styleId="WW8Num4z0">
    <w:name w:val="WW8Num4z0"/>
    <w:qFormat/>
    <w:rPr>
      <w:rFonts w:cs="Times New Roman"/>
    </w:rPr>
  </w:style>
  <w:style w:type="character" w:styleId="WW8Num3z0">
    <w:name w:val="WW8Num3z0"/>
    <w:qFormat/>
    <w:rPr>
      <w:rFonts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0">
    <w:name w:val="WW8Num2z0"/>
    <w:qFormat/>
    <w:rPr>
      <w:rFonts w:cs="Times New Roman"/>
    </w:rPr>
  </w:style>
  <w:style w:type="character" w:styleId="WW8Num1z1">
    <w:name w:val="WW8Num1z1"/>
    <w:qFormat/>
    <w:rPr>
      <w:rFonts w:cs="Times New Roman"/>
    </w:rPr>
  </w:style>
  <w:style w:type="character" w:styleId="WW8Num1z0">
    <w:name w:val="WW8Num1z0"/>
    <w:qFormat/>
    <w:rPr>
      <w:rFonts w:cs="Times New Roman"/>
    </w:rPr>
  </w:style>
  <w:style w:type="paragraph" w:styleId="Style2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Noto Sans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Style14"/>
    <w:qFormat/>
    <w:pPr>
      <w:jc w:val="center"/>
    </w:pPr>
    <w:rPr>
      <w:b/>
      <w:bCs/>
      <w:sz w:val="28"/>
      <w:szCs w:val="28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sz w:val="22"/>
      <w:szCs w:val="22"/>
      <w:lang w:eastAsia="en-US"/>
    </w:rPr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paragraph" w:styleId="user3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4">
    <w:name w:val="Заголовок таблицы (user)"/>
    <w:basedOn w:val="user3"/>
    <w:qFormat/>
    <w:pPr>
      <w:suppressLineNumbers/>
      <w:jc w:val="center"/>
    </w:pPr>
    <w:rPr>
      <w:b/>
      <w:bCs/>
    </w:rPr>
  </w:style>
  <w:style w:type="numbering" w:styleId="Style2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Application>LibreOffice/25.8.2.2$Linux_X86_64 LibreOffice_project/d401f2107ccab8f924a8e2df40f573aab7605b6f</Application>
  <AppVersion>15.0000</AppVersion>
  <Pages>4</Pages>
  <Words>601</Words>
  <Characters>5180</Characters>
  <CharactersWithSpaces>6076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2025-01-28T10:50:00Z</dcterms:created>
  <dc:creator>Urist</dc:creator>
  <dc:description/>
  <dc:language>ru-RU</dc:language>
  <cp:lastModifiedBy/>
  <cp:lastPrinted>2026-01-12T11:36:50Z</cp:lastPrinted>
  <dcterms:modified xsi:type="dcterms:W3CDTF">2026-01-12T11:41:04Z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AE8DA7C83A6A4928BD8A311271185330_12</vt:lpwstr>
  </property>
  <property fmtid="{D5CDD505-2E9C-101B-9397-08002B2CF9AE}" pid="3" name="KSOProductBuildVer">
    <vt:lpwstr>1049-12.2.0.23196</vt:lpwstr>
  </property>
</Properties>
</file>